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CCC" w:rsidRDefault="00B31A97" w:rsidP="00004ABE">
      <w:pPr>
        <w:spacing w:after="120" w:line="240" w:lineRule="auto"/>
        <w:jc w:val="center"/>
        <w:rPr>
          <w:b/>
          <w:i/>
          <w:sz w:val="28"/>
          <w:u w:val="single"/>
        </w:rPr>
      </w:pPr>
      <w:r w:rsidRPr="00983AB2">
        <w:rPr>
          <w:b/>
          <w:i/>
          <w:sz w:val="28"/>
          <w:u w:val="single"/>
        </w:rPr>
        <w:t>STATISTIQUES SUR LES MARCHES PUBLICS</w:t>
      </w:r>
    </w:p>
    <w:p w:rsidR="00B31A97" w:rsidRPr="00983AB2" w:rsidRDefault="00B31A97" w:rsidP="00004ABE">
      <w:pPr>
        <w:spacing w:line="240" w:lineRule="auto"/>
        <w:jc w:val="center"/>
        <w:rPr>
          <w:b/>
          <w:i/>
          <w:sz w:val="28"/>
          <w:u w:val="single"/>
        </w:rPr>
      </w:pPr>
      <w:r w:rsidRPr="00983AB2">
        <w:rPr>
          <w:b/>
          <w:i/>
          <w:sz w:val="28"/>
          <w:u w:val="single"/>
        </w:rPr>
        <w:t xml:space="preserve"> 1</w:t>
      </w:r>
      <w:r w:rsidRPr="00983AB2">
        <w:rPr>
          <w:b/>
          <w:i/>
          <w:sz w:val="28"/>
          <w:u w:val="single"/>
          <w:vertAlign w:val="superscript"/>
        </w:rPr>
        <w:t>ER</w:t>
      </w:r>
      <w:r w:rsidRPr="00983AB2">
        <w:rPr>
          <w:b/>
          <w:i/>
          <w:sz w:val="28"/>
          <w:u w:val="single"/>
        </w:rPr>
        <w:t xml:space="preserve"> SEMESTRE 2015</w:t>
      </w:r>
    </w:p>
    <w:p w:rsidR="00613B84" w:rsidRDefault="00613B84" w:rsidP="00225C2E">
      <w:pPr>
        <w:pStyle w:val="Paragraphedeliste"/>
        <w:numPr>
          <w:ilvl w:val="0"/>
          <w:numId w:val="2"/>
        </w:numPr>
        <w:spacing w:before="60" w:after="60"/>
        <w:ind w:left="284" w:hanging="284"/>
        <w:contextualSpacing w:val="0"/>
        <w:rPr>
          <w:b/>
          <w:u w:val="single"/>
        </w:rPr>
      </w:pPr>
      <w:r w:rsidRPr="00225C2E">
        <w:rPr>
          <w:b/>
          <w:u w:val="single"/>
        </w:rPr>
        <w:t xml:space="preserve">Situation globale des marchés </w:t>
      </w:r>
      <w:r w:rsidR="00883DB6" w:rsidRPr="00225C2E">
        <w:rPr>
          <w:b/>
          <w:u w:val="single"/>
        </w:rPr>
        <w:t xml:space="preserve">en fonction de la nature du marché </w:t>
      </w:r>
      <w:r w:rsidRPr="00225C2E">
        <w:rPr>
          <w:b/>
          <w:u w:val="single"/>
        </w:rPr>
        <w:t>(en volume et en valeur)</w:t>
      </w:r>
      <w:r w:rsidR="00983AB2" w:rsidRPr="00983AB2">
        <w:rPr>
          <w:b/>
          <w:u w:val="single"/>
        </w:rPr>
        <w:t xml:space="preserve"> </w:t>
      </w:r>
      <w:r w:rsidR="00983AB2">
        <w:rPr>
          <w:b/>
          <w:u w:val="single"/>
        </w:rPr>
        <w:t>(Source : DNMP)</w:t>
      </w:r>
    </w:p>
    <w:p w:rsidR="00983AB2" w:rsidRPr="00225C2E" w:rsidRDefault="00983AB2" w:rsidP="00983AB2">
      <w:pPr>
        <w:pStyle w:val="Paragraphedeliste"/>
        <w:spacing w:before="60" w:after="60"/>
        <w:ind w:left="284"/>
        <w:contextualSpacing w:val="0"/>
        <w:rPr>
          <w:b/>
          <w:u w:val="single"/>
        </w:rPr>
      </w:pPr>
    </w:p>
    <w:tbl>
      <w:tblPr>
        <w:tblW w:w="64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1"/>
        <w:gridCol w:w="592"/>
        <w:gridCol w:w="521"/>
        <w:gridCol w:w="1899"/>
        <w:gridCol w:w="521"/>
      </w:tblGrid>
      <w:tr w:rsidR="00613B84" w:rsidRPr="00C14B1B" w:rsidTr="00E85119">
        <w:trPr>
          <w:trHeight w:val="240"/>
          <w:jc w:val="center"/>
        </w:trPr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FFFFFF"/>
            </w:tcBorders>
            <w:shd w:val="clear" w:color="auto" w:fill="538135" w:themeFill="accent6" w:themeFillShade="BF"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  <w:t>Nature du marché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538135" w:themeFill="accent6" w:themeFillShade="BF"/>
            <w:vAlign w:val="center"/>
            <w:hideMark/>
          </w:tcPr>
          <w:p w:rsidR="00613B84" w:rsidRPr="00C14B1B" w:rsidRDefault="00613B84" w:rsidP="00613B84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  <w:t>Effectif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000000"/>
            </w:tcBorders>
            <w:shd w:val="clear" w:color="auto" w:fill="538135" w:themeFill="accent6" w:themeFillShade="BF"/>
            <w:vAlign w:val="center"/>
            <w:hideMark/>
          </w:tcPr>
          <w:p w:rsidR="00613B84" w:rsidRPr="00C14B1B" w:rsidRDefault="00613B84" w:rsidP="00613B84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  <w:t>Montant</w:t>
            </w:r>
          </w:p>
        </w:tc>
      </w:tr>
      <w:tr w:rsidR="00613B84" w:rsidRPr="00C14B1B" w:rsidTr="00E85119">
        <w:trPr>
          <w:trHeight w:val="240"/>
          <w:jc w:val="center"/>
        </w:trPr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FFFFFF"/>
            </w:tcBorders>
            <w:shd w:val="clear" w:color="auto" w:fill="538135" w:themeFill="accent6" w:themeFillShade="BF"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center"/>
            <w:hideMark/>
          </w:tcPr>
          <w:p w:rsidR="00613B84" w:rsidRPr="00C14B1B" w:rsidRDefault="00613B84" w:rsidP="00613B84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  <w:proofErr w:type="spellStart"/>
            <w:r w:rsidRPr="00C14B1B"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  <w:t>Nbre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center"/>
            <w:hideMark/>
          </w:tcPr>
          <w:p w:rsidR="00613B84" w:rsidRPr="00C14B1B" w:rsidRDefault="00613B84" w:rsidP="00613B84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  <w:t>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center"/>
            <w:hideMark/>
          </w:tcPr>
          <w:p w:rsidR="00613B84" w:rsidRPr="00C14B1B" w:rsidRDefault="00613B84" w:rsidP="00613B84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  <w:proofErr w:type="spellStart"/>
            <w:r w:rsidRPr="00C14B1B"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  <w:t>Nbre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135" w:themeFill="accent6" w:themeFillShade="BF"/>
            <w:noWrap/>
            <w:vAlign w:val="center"/>
            <w:hideMark/>
          </w:tcPr>
          <w:p w:rsidR="00613B84" w:rsidRPr="00C14B1B" w:rsidRDefault="00613B84" w:rsidP="00613B84">
            <w:pPr>
              <w:spacing w:before="60" w:after="6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color w:val="FFFFFF"/>
                <w:sz w:val="18"/>
                <w:lang w:eastAsia="fr-FR"/>
              </w:rPr>
              <w:t>%</w:t>
            </w:r>
          </w:p>
        </w:tc>
      </w:tr>
      <w:tr w:rsidR="00613B84" w:rsidRPr="00C14B1B" w:rsidTr="00983AB2">
        <w:trPr>
          <w:trHeight w:val="240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sz w:val="18"/>
                <w:lang w:eastAsia="fr-FR"/>
              </w:rPr>
              <w:t>TRAVAUX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90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50%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2 058 420 723 653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66%</w:t>
            </w:r>
          </w:p>
        </w:tc>
      </w:tr>
      <w:tr w:rsidR="00613B84" w:rsidRPr="00C14B1B" w:rsidTr="00983AB2">
        <w:trPr>
          <w:trHeight w:val="240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sz w:val="18"/>
                <w:lang w:eastAsia="fr-FR"/>
              </w:rPr>
              <w:t>FOURNITURES EQUIPEMENTS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12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7%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401 378 658 332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13%</w:t>
            </w:r>
          </w:p>
        </w:tc>
      </w:tr>
      <w:tr w:rsidR="00613B84" w:rsidRPr="00C14B1B" w:rsidTr="00983AB2">
        <w:trPr>
          <w:trHeight w:val="240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sz w:val="18"/>
                <w:lang w:eastAsia="fr-FR"/>
              </w:rPr>
              <w:t>FOURNITURES COURANTES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24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13%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411 801 229 378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13%</w:t>
            </w:r>
          </w:p>
        </w:tc>
      </w:tr>
      <w:tr w:rsidR="00613B84" w:rsidRPr="00C14B1B" w:rsidTr="00983AB2">
        <w:trPr>
          <w:trHeight w:val="240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sz w:val="18"/>
                <w:lang w:eastAsia="fr-FR"/>
              </w:rPr>
              <w:t>PRESTATIONS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55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30%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225 523 626 160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sz w:val="18"/>
                <w:lang w:eastAsia="fr-FR"/>
              </w:rPr>
            </w:pPr>
            <w:r w:rsidRPr="00C14B1B">
              <w:rPr>
                <w:rFonts w:eastAsia="Times New Roman" w:cs="Arial"/>
                <w:sz w:val="18"/>
                <w:lang w:eastAsia="fr-FR"/>
              </w:rPr>
              <w:t>7%</w:t>
            </w:r>
          </w:p>
        </w:tc>
      </w:tr>
      <w:tr w:rsidR="00613B84" w:rsidRPr="00C14B1B" w:rsidTr="00E85119">
        <w:trPr>
          <w:trHeight w:val="240"/>
          <w:jc w:val="center"/>
        </w:trPr>
        <w:tc>
          <w:tcPr>
            <w:tcW w:w="2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  <w:t> Total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  <w:t>181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613B84" w:rsidRPr="00C14B1B" w:rsidRDefault="00613B84" w:rsidP="00613B84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  <w:t>3 097 124 237 523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135" w:themeFill="accent6" w:themeFillShade="BF"/>
            <w:noWrap/>
            <w:vAlign w:val="bottom"/>
            <w:hideMark/>
          </w:tcPr>
          <w:p w:rsidR="00613B84" w:rsidRPr="00C14B1B" w:rsidRDefault="00613B84" w:rsidP="00613B84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</w:pPr>
            <w:r w:rsidRPr="00C14B1B">
              <w:rPr>
                <w:rFonts w:eastAsia="Times New Roman" w:cs="Arial"/>
                <w:b/>
                <w:bCs/>
                <w:i/>
                <w:iCs/>
                <w:color w:val="FFFFFF"/>
                <w:sz w:val="18"/>
                <w:lang w:eastAsia="fr-FR"/>
              </w:rPr>
              <w:t> </w:t>
            </w:r>
          </w:p>
        </w:tc>
      </w:tr>
    </w:tbl>
    <w:p w:rsidR="00613B84" w:rsidRPr="00225C2E" w:rsidRDefault="00BC6CCC" w:rsidP="00BC6CCC">
      <w:pPr>
        <w:spacing w:before="60" w:after="60"/>
        <w:ind w:left="708" w:firstLine="708"/>
      </w:pPr>
      <w:r w:rsidRPr="00BC6CCC">
        <w:rPr>
          <w:b/>
          <w:sz w:val="20"/>
          <w:u w:val="single"/>
        </w:rPr>
        <w:t>(Source : DNMP)</w:t>
      </w:r>
    </w:p>
    <w:p w:rsidR="00073EA0" w:rsidRPr="00225C2E" w:rsidRDefault="00C14B1B" w:rsidP="00073EA0">
      <w:pPr>
        <w:spacing w:before="60" w:after="60"/>
      </w:pPr>
      <w:r w:rsidRPr="00225C2E"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 wp14:anchorId="4F3AE1A8" wp14:editId="20EFCD17">
            <wp:simplePos x="0" y="0"/>
            <wp:positionH relativeFrom="page">
              <wp:posOffset>4143375</wp:posOffset>
            </wp:positionH>
            <wp:positionV relativeFrom="paragraph">
              <wp:posOffset>27940</wp:posOffset>
            </wp:positionV>
            <wp:extent cx="3162300" cy="1952625"/>
            <wp:effectExtent l="0" t="0" r="0" b="0"/>
            <wp:wrapThrough wrapText="bothSides">
              <wp:wrapPolygon edited="0">
                <wp:start x="0" y="0"/>
                <wp:lineTo x="0" y="21284"/>
                <wp:lineTo x="21470" y="21284"/>
                <wp:lineTo x="21470" y="0"/>
                <wp:lineTo x="0" y="0"/>
              </wp:wrapPolygon>
            </wp:wrapThrough>
            <wp:docPr id="5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3B84" w:rsidRPr="00225C2E">
        <w:rPr>
          <w:noProof/>
          <w:lang w:eastAsia="fr-FR"/>
        </w:rPr>
        <w:drawing>
          <wp:inline distT="0" distB="0" distL="0" distR="0" wp14:anchorId="2A9BA3C7" wp14:editId="2FE6DA84">
            <wp:extent cx="2981325" cy="2085975"/>
            <wp:effectExtent l="0" t="0" r="0" b="0"/>
            <wp:docPr id="4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83DB6" w:rsidRDefault="00883DB6" w:rsidP="00983AB2">
      <w:pPr>
        <w:pStyle w:val="Paragraphedeliste"/>
        <w:numPr>
          <w:ilvl w:val="0"/>
          <w:numId w:val="2"/>
        </w:numPr>
        <w:spacing w:before="60" w:after="60"/>
        <w:ind w:left="284" w:hanging="284"/>
        <w:contextualSpacing w:val="0"/>
        <w:rPr>
          <w:b/>
          <w:u w:val="single"/>
        </w:rPr>
      </w:pPr>
      <w:r w:rsidRPr="00225C2E">
        <w:rPr>
          <w:b/>
          <w:u w:val="single"/>
        </w:rPr>
        <w:t>Situation globale des marchés en fonction du mode de financement (en volume et en valeur)</w:t>
      </w:r>
      <w:r w:rsidR="00983AB2" w:rsidRPr="00983AB2">
        <w:rPr>
          <w:b/>
          <w:u w:val="single"/>
        </w:rPr>
        <w:t xml:space="preserve"> </w:t>
      </w:r>
      <w:r w:rsidR="00983AB2">
        <w:rPr>
          <w:b/>
          <w:u w:val="single"/>
        </w:rPr>
        <w:t>(Source : DNMP)</w:t>
      </w:r>
    </w:p>
    <w:p w:rsidR="00983AB2" w:rsidRPr="00983AB2" w:rsidRDefault="00983AB2" w:rsidP="00983AB2">
      <w:pPr>
        <w:spacing w:before="60" w:after="60"/>
        <w:rPr>
          <w:b/>
          <w:u w:val="single"/>
        </w:rPr>
      </w:pPr>
    </w:p>
    <w:tbl>
      <w:tblPr>
        <w:tblW w:w="59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0"/>
        <w:gridCol w:w="642"/>
        <w:gridCol w:w="703"/>
        <w:gridCol w:w="2098"/>
        <w:gridCol w:w="581"/>
      </w:tblGrid>
      <w:tr w:rsidR="00883DB6" w:rsidRPr="00C14B1B" w:rsidTr="00042903">
        <w:trPr>
          <w:trHeight w:val="240"/>
          <w:jc w:val="center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FFFFFF"/>
            </w:tcBorders>
            <w:shd w:val="clear" w:color="auto" w:fill="538135" w:themeFill="accent6" w:themeFillShade="BF"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Mode de Financement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538135" w:themeFill="accent6" w:themeFillShade="BF"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Effectif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single" w:sz="4" w:space="0" w:color="FFFFFF"/>
              <w:right w:val="single" w:sz="4" w:space="0" w:color="000000"/>
            </w:tcBorders>
            <w:shd w:val="clear" w:color="auto" w:fill="538135" w:themeFill="accent6" w:themeFillShade="BF"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Montant</w:t>
            </w:r>
          </w:p>
        </w:tc>
      </w:tr>
      <w:tr w:rsidR="00883DB6" w:rsidRPr="00C14B1B" w:rsidTr="00042903">
        <w:trPr>
          <w:trHeight w:val="240"/>
          <w:jc w:val="center"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FFFFFF"/>
            </w:tcBorders>
            <w:shd w:val="clear" w:color="auto" w:fill="538135" w:themeFill="accent6" w:themeFillShade="BF"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proofErr w:type="spellStart"/>
            <w:r w:rsidRPr="00C14B1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Nbre</w:t>
            </w:r>
            <w:proofErr w:type="spell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%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GNF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135" w:themeFill="accent6" w:themeFillShade="BF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fr-FR"/>
              </w:rPr>
              <w:t>%</w:t>
            </w:r>
          </w:p>
        </w:tc>
      </w:tr>
      <w:tr w:rsidR="00883DB6" w:rsidRPr="00C14B1B" w:rsidTr="00983AB2">
        <w:trPr>
          <w:trHeight w:val="240"/>
          <w:jc w:val="center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BND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139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77%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2 918 882 526 860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94%</w:t>
            </w:r>
          </w:p>
        </w:tc>
      </w:tr>
      <w:tr w:rsidR="00883DB6" w:rsidRPr="00C14B1B" w:rsidTr="00983AB2">
        <w:trPr>
          <w:trHeight w:val="240"/>
          <w:jc w:val="center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FINEX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23%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178 241 710 663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6%</w:t>
            </w:r>
          </w:p>
        </w:tc>
      </w:tr>
      <w:tr w:rsidR="00883DB6" w:rsidRPr="00C14B1B" w:rsidTr="00042903">
        <w:trPr>
          <w:trHeight w:val="240"/>
          <w:jc w:val="center"/>
        </w:trPr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  <w:t>Total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  <w:t>181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auto" w:fill="538135" w:themeFill="accent6" w:themeFillShade="BF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  <w:t>3 097 124 237 523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38135" w:themeFill="accent6" w:themeFillShade="BF"/>
            <w:noWrap/>
            <w:vAlign w:val="bottom"/>
            <w:hideMark/>
          </w:tcPr>
          <w:p w:rsidR="00883DB6" w:rsidRPr="00C14B1B" w:rsidRDefault="00883DB6" w:rsidP="00883D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</w:pPr>
            <w:r w:rsidRPr="00C14B1B">
              <w:rPr>
                <w:rFonts w:ascii="Arial" w:eastAsia="Times New Roman" w:hAnsi="Arial" w:cs="Arial"/>
                <w:b/>
                <w:bCs/>
                <w:i/>
                <w:iCs/>
                <w:color w:val="FFFFFF"/>
                <w:sz w:val="18"/>
                <w:szCs w:val="18"/>
                <w:lang w:eastAsia="fr-FR"/>
              </w:rPr>
              <w:t> </w:t>
            </w:r>
          </w:p>
        </w:tc>
      </w:tr>
    </w:tbl>
    <w:p w:rsidR="00B2304A" w:rsidRDefault="00BC6CCC" w:rsidP="00BC6CCC">
      <w:pPr>
        <w:spacing w:after="0" w:line="240" w:lineRule="auto"/>
        <w:ind w:left="708" w:firstLine="708"/>
        <w:rPr>
          <w:b/>
        </w:rPr>
      </w:pPr>
      <w:r w:rsidRPr="00BC6CCC">
        <w:rPr>
          <w:b/>
          <w:sz w:val="20"/>
        </w:rPr>
        <w:t xml:space="preserve">    </w:t>
      </w:r>
      <w:r w:rsidRPr="00BC6CCC">
        <w:rPr>
          <w:b/>
          <w:sz w:val="20"/>
          <w:u w:val="single"/>
        </w:rPr>
        <w:t>(Source : DNMP)</w:t>
      </w:r>
    </w:p>
    <w:p w:rsidR="00883DB6" w:rsidRPr="00C14B1B" w:rsidRDefault="00983AB2" w:rsidP="00C14B1B">
      <w:pPr>
        <w:spacing w:after="0" w:line="240" w:lineRule="auto"/>
        <w:ind w:left="708" w:firstLine="708"/>
        <w:rPr>
          <w:sz w:val="20"/>
        </w:rPr>
      </w:pPr>
      <w:proofErr w:type="spellStart"/>
      <w:r w:rsidRPr="00C14B1B">
        <w:rPr>
          <w:b/>
          <w:sz w:val="20"/>
        </w:rPr>
        <w:t>Finex</w:t>
      </w:r>
      <w:proofErr w:type="spellEnd"/>
      <w:r w:rsidRPr="00C14B1B">
        <w:rPr>
          <w:sz w:val="20"/>
        </w:rPr>
        <w:t xml:space="preserve"> : Financement </w:t>
      </w:r>
      <w:proofErr w:type="spellStart"/>
      <w:r w:rsidRPr="00C14B1B">
        <w:rPr>
          <w:sz w:val="20"/>
        </w:rPr>
        <w:t>EXtérieur</w:t>
      </w:r>
      <w:proofErr w:type="spellEnd"/>
    </w:p>
    <w:p w:rsidR="00983AB2" w:rsidRPr="00C14B1B" w:rsidRDefault="00983AB2" w:rsidP="00C14B1B">
      <w:pPr>
        <w:spacing w:after="0" w:line="240" w:lineRule="auto"/>
        <w:ind w:left="708" w:firstLine="708"/>
        <w:rPr>
          <w:sz w:val="20"/>
        </w:rPr>
      </w:pPr>
      <w:r w:rsidRPr="00C14B1B">
        <w:rPr>
          <w:b/>
          <w:sz w:val="20"/>
        </w:rPr>
        <w:t>BND</w:t>
      </w:r>
      <w:r w:rsidRPr="00C14B1B">
        <w:rPr>
          <w:sz w:val="20"/>
        </w:rPr>
        <w:t> : Budget National de Développement</w:t>
      </w:r>
    </w:p>
    <w:p w:rsidR="00983AB2" w:rsidRDefault="00C14B1B" w:rsidP="00073EA0">
      <w:pPr>
        <w:spacing w:before="60" w:after="60"/>
        <w:rPr>
          <w:noProof/>
          <w:lang w:eastAsia="fr-FR"/>
        </w:rPr>
      </w:pPr>
      <w:r w:rsidRPr="00225C2E"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 wp14:anchorId="71707885" wp14:editId="02CC6AA6">
            <wp:simplePos x="0" y="0"/>
            <wp:positionH relativeFrom="margin">
              <wp:align>left</wp:align>
            </wp:positionH>
            <wp:positionV relativeFrom="paragraph">
              <wp:posOffset>137795</wp:posOffset>
            </wp:positionV>
            <wp:extent cx="3267075" cy="2124075"/>
            <wp:effectExtent l="0" t="0" r="0" b="0"/>
            <wp:wrapNone/>
            <wp:docPr id="7" name="Graphique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5C2E"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39A5CE6D" wp14:editId="28ECF328">
            <wp:simplePos x="0" y="0"/>
            <wp:positionH relativeFrom="margin">
              <wp:posOffset>3400425</wp:posOffset>
            </wp:positionH>
            <wp:positionV relativeFrom="paragraph">
              <wp:posOffset>42545</wp:posOffset>
            </wp:positionV>
            <wp:extent cx="2800350" cy="2305050"/>
            <wp:effectExtent l="0" t="0" r="0" b="0"/>
            <wp:wrapNone/>
            <wp:docPr id="6" name="Graphique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73EA0" w:rsidRDefault="00883DB6" w:rsidP="00073EA0">
      <w:pPr>
        <w:spacing w:before="60" w:after="60"/>
        <w:rPr>
          <w:noProof/>
          <w:lang w:eastAsia="fr-FR"/>
        </w:rPr>
      </w:pPr>
      <w:r w:rsidRPr="00225C2E">
        <w:rPr>
          <w:noProof/>
          <w:lang w:eastAsia="fr-FR"/>
        </w:rPr>
        <w:t xml:space="preserve"> </w:t>
      </w:r>
      <w:bookmarkStart w:id="0" w:name="_GoBack"/>
      <w:bookmarkEnd w:id="0"/>
    </w:p>
    <w:sectPr w:rsidR="00073EA0" w:rsidSect="00F459BB">
      <w:headerReference w:type="default" r:id="rId13"/>
      <w:footerReference w:type="default" r:id="rId14"/>
      <w:pgSz w:w="11906" w:h="16838"/>
      <w:pgMar w:top="1135" w:right="1274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BB" w:rsidRDefault="00F146BB" w:rsidP="00F459BB">
      <w:pPr>
        <w:spacing w:after="0" w:line="240" w:lineRule="auto"/>
      </w:pPr>
      <w:r>
        <w:separator/>
      </w:r>
    </w:p>
  </w:endnote>
  <w:endnote w:type="continuationSeparator" w:id="0">
    <w:p w:rsidR="00F146BB" w:rsidRDefault="00F146BB" w:rsidP="00F4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3267891"/>
      <w:docPartObj>
        <w:docPartGallery w:val="Page Numbers (Bottom of Page)"/>
        <w:docPartUnique/>
      </w:docPartObj>
    </w:sdtPr>
    <w:sdtEndPr/>
    <w:sdtContent>
      <w:p w:rsidR="00F459BB" w:rsidRDefault="00F459B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A79">
          <w:rPr>
            <w:noProof/>
          </w:rPr>
          <w:t>1</w:t>
        </w:r>
        <w:r>
          <w:fldChar w:fldCharType="end"/>
        </w:r>
      </w:p>
    </w:sdtContent>
  </w:sdt>
  <w:p w:rsidR="00F459BB" w:rsidRDefault="00F459B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BB" w:rsidRDefault="00F146BB" w:rsidP="00F459BB">
      <w:pPr>
        <w:spacing w:after="0" w:line="240" w:lineRule="auto"/>
      </w:pPr>
      <w:r>
        <w:separator/>
      </w:r>
    </w:p>
  </w:footnote>
  <w:footnote w:type="continuationSeparator" w:id="0">
    <w:p w:rsidR="00F146BB" w:rsidRDefault="00F146BB" w:rsidP="00F45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9BB" w:rsidRPr="00E20F89" w:rsidRDefault="00E20F89" w:rsidP="00983AB2">
    <w:pPr>
      <w:pStyle w:val="En-tte"/>
      <w:pBdr>
        <w:bottom w:val="single" w:sz="4" w:space="1" w:color="auto"/>
      </w:pBdr>
      <w:jc w:val="right"/>
      <w:rPr>
        <w:b/>
        <w:sz w:val="18"/>
        <w:lang w:val="en-US"/>
      </w:rPr>
    </w:pPr>
    <w:r w:rsidRPr="00E20F89">
      <w:rPr>
        <w:b/>
        <w:sz w:val="18"/>
        <w:lang w:val="en-US"/>
      </w:rPr>
      <w:t>ARMP – GUINEE</w:t>
    </w:r>
    <w:r w:rsidRPr="00E20F89">
      <w:rPr>
        <w:b/>
        <w:sz w:val="18"/>
        <w:lang w:val="en-US"/>
      </w:rPr>
      <w:tab/>
    </w:r>
    <w:r w:rsidR="00F459BB" w:rsidRPr="00E20F89">
      <w:rPr>
        <w:b/>
        <w:sz w:val="18"/>
        <w:lang w:val="en-US"/>
      </w:rPr>
      <w:t>DSD/Div. Stat.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59C3"/>
    <w:multiLevelType w:val="hybridMultilevel"/>
    <w:tmpl w:val="9182D22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16BE"/>
    <w:multiLevelType w:val="hybridMultilevel"/>
    <w:tmpl w:val="40DEF7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41734"/>
    <w:multiLevelType w:val="hybridMultilevel"/>
    <w:tmpl w:val="7E421B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C5756"/>
    <w:multiLevelType w:val="hybridMultilevel"/>
    <w:tmpl w:val="701A28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222E6"/>
    <w:multiLevelType w:val="hybridMultilevel"/>
    <w:tmpl w:val="70EEC7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2750D"/>
    <w:multiLevelType w:val="hybridMultilevel"/>
    <w:tmpl w:val="A9EEC2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B1123"/>
    <w:multiLevelType w:val="hybridMultilevel"/>
    <w:tmpl w:val="53C887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A12E6D"/>
    <w:multiLevelType w:val="hybridMultilevel"/>
    <w:tmpl w:val="6972B7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3371ED"/>
    <w:multiLevelType w:val="hybridMultilevel"/>
    <w:tmpl w:val="ED00D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9047DD"/>
    <w:multiLevelType w:val="hybridMultilevel"/>
    <w:tmpl w:val="9B6E52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59"/>
    <w:rsid w:val="00004ABE"/>
    <w:rsid w:val="00042903"/>
    <w:rsid w:val="00047516"/>
    <w:rsid w:val="00073EA0"/>
    <w:rsid w:val="000C3A40"/>
    <w:rsid w:val="001368C5"/>
    <w:rsid w:val="00181ECB"/>
    <w:rsid w:val="001F79FE"/>
    <w:rsid w:val="00225C2E"/>
    <w:rsid w:val="002C79BA"/>
    <w:rsid w:val="00350359"/>
    <w:rsid w:val="003E5FB0"/>
    <w:rsid w:val="00405A70"/>
    <w:rsid w:val="004410CD"/>
    <w:rsid w:val="0045362F"/>
    <w:rsid w:val="0053426B"/>
    <w:rsid w:val="00582EAC"/>
    <w:rsid w:val="005A0D7B"/>
    <w:rsid w:val="00613B84"/>
    <w:rsid w:val="006144E7"/>
    <w:rsid w:val="006449EA"/>
    <w:rsid w:val="006818A3"/>
    <w:rsid w:val="00703703"/>
    <w:rsid w:val="0073321A"/>
    <w:rsid w:val="00781068"/>
    <w:rsid w:val="00883DB6"/>
    <w:rsid w:val="008F0D91"/>
    <w:rsid w:val="008F3DF4"/>
    <w:rsid w:val="008F624A"/>
    <w:rsid w:val="00906E0C"/>
    <w:rsid w:val="00946D38"/>
    <w:rsid w:val="00973A07"/>
    <w:rsid w:val="00983AB2"/>
    <w:rsid w:val="009873F1"/>
    <w:rsid w:val="009922A0"/>
    <w:rsid w:val="009D3D05"/>
    <w:rsid w:val="009E761A"/>
    <w:rsid w:val="00A05269"/>
    <w:rsid w:val="00B2304A"/>
    <w:rsid w:val="00B31A97"/>
    <w:rsid w:val="00BC6CCC"/>
    <w:rsid w:val="00C14B1B"/>
    <w:rsid w:val="00C65843"/>
    <w:rsid w:val="00C76DA4"/>
    <w:rsid w:val="00DC75AE"/>
    <w:rsid w:val="00E11547"/>
    <w:rsid w:val="00E20F89"/>
    <w:rsid w:val="00E6319C"/>
    <w:rsid w:val="00E85119"/>
    <w:rsid w:val="00ED09BD"/>
    <w:rsid w:val="00EF1B97"/>
    <w:rsid w:val="00F146BB"/>
    <w:rsid w:val="00F34783"/>
    <w:rsid w:val="00F459BB"/>
    <w:rsid w:val="00F60561"/>
    <w:rsid w:val="00F76E1E"/>
    <w:rsid w:val="00F92A79"/>
    <w:rsid w:val="00FA294B"/>
    <w:rsid w:val="00FD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F3DF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0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D7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45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59BB"/>
  </w:style>
  <w:style w:type="paragraph" w:styleId="Pieddepage">
    <w:name w:val="footer"/>
    <w:basedOn w:val="Normal"/>
    <w:link w:val="PieddepageCar"/>
    <w:uiPriority w:val="99"/>
    <w:unhideWhenUsed/>
    <w:rsid w:val="00F45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5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F3DF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0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D7B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45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59BB"/>
  </w:style>
  <w:style w:type="paragraph" w:styleId="Pieddepage">
    <w:name w:val="footer"/>
    <w:basedOn w:val="Normal"/>
    <w:link w:val="PieddepageCar"/>
    <w:uiPriority w:val="99"/>
    <w:unhideWhenUsed/>
    <w:rsid w:val="00F459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5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hp\Desktop\Documents_BOU\ARMP\Donn&#233;es%202015\Rapports_2015\Stat_Mach&#233;s_Publics_SEM1_DNMP_200715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hp\Desktop\Documents_BOU\ARMP\Donn&#233;es%202015\Rapports_2015\Stat_Mach&#233;s_Publics_SEM1_DNMP_200715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hp\Desktop\Documents_BOU\ARMP\Donn&#233;es%202015\Rapports_2015\Stat_Mach&#233;s_Publics_SEM1_DNMP_200715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C-hp\Desktop\Documents_BOU\ARMP\Donn&#233;es%202015\Rapports_2015\Stat_Mach&#233;s_Publics_SEM1_DNMP_20071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800" i="0"/>
              <a:t>Repartition des marchés (en valeur) selon la nature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0683873541935524"/>
          <c:y val="0.30061147688990641"/>
          <c:w val="0.8053249044582016"/>
          <c:h val="0.66021676153633846"/>
        </c:manualLayout>
      </c:layout>
      <c:pie3DChart>
        <c:varyColors val="1"/>
        <c:ser>
          <c:idx val="0"/>
          <c:order val="0"/>
          <c:explosion val="7"/>
          <c:dPt>
            <c:idx val="0"/>
            <c:bubble3D val="0"/>
            <c:explosion val="4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97A5ED3-E3CA-429B-98A4-AB940176311C}" type="CATEGORYNAME">
                      <a:rPr lang="en-US" sz="700">
                        <a:solidFill>
                          <a:schemeClr val="accent6"/>
                        </a:solidFill>
                      </a:rPr>
                      <a:pPr>
                        <a:defRPr sz="700" b="1" i="0" u="none" strike="noStrike" kern="120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[NOM DE CATÉGORIE]</a:t>
                    </a:fld>
                    <a:r>
                      <a:rPr lang="en-US" sz="700" baseline="0"/>
                      <a:t>
</a:t>
                    </a:r>
                    <a:fld id="{B439398A-929B-4264-9F4F-31B829CDD810}" type="PERCENTAGE">
                      <a:rPr lang="en-US" sz="700" baseline="0">
                        <a:solidFill>
                          <a:schemeClr val="accent6"/>
                        </a:solidFill>
                      </a:rPr>
                      <a:pPr>
                        <a:defRPr sz="700" b="1" i="0" u="none" strike="noStrike" kern="1200" baseline="0">
                          <a:solidFill>
                            <a:schemeClr val="accent1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[POURCENTAGE]</a:t>
                    </a:fld>
                    <a:endParaRPr lang="en-US" sz="700" baseline="0"/>
                  </a:p>
                </c:rich>
              </c:tx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5.6525409679759305E-3"/>
                  <c:y val="6.8721039547956345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56661"/>
                        <a:gd name="adj2" fmla="val -65828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6313917085665495"/>
                      <c:h val="0.24036207669163304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2.1990491194077586E-3"/>
                  <c:y val="-1.9761832647478363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73777"/>
                        <a:gd name="adj2" fmla="val 96867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4422192707839233"/>
                      <c:h val="0.13815299916778695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4039735277345497"/>
                  <c:y val="3.7347832728346769E-3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107964"/>
                        <a:gd name="adj2" fmla="val 46058"/>
                      </a:avLst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3816937039496569"/>
                      <c:h val="0.13151987708853463"/>
                    </c:manualLayout>
                  </c15:layout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5B9BD5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'Accroiss (2)'!$G$32:$G$35</c:f>
              <c:strCache>
                <c:ptCount val="4"/>
                <c:pt idx="0">
                  <c:v>TRAVAUX</c:v>
                </c:pt>
                <c:pt idx="1">
                  <c:v>FOURNITURES EQUIPEMENTS</c:v>
                </c:pt>
                <c:pt idx="2">
                  <c:v>FOURNITURES COURANTES</c:v>
                </c:pt>
                <c:pt idx="3">
                  <c:v>PRESTATIONS</c:v>
                </c:pt>
              </c:strCache>
            </c:strRef>
          </c:cat>
          <c:val>
            <c:numRef>
              <c:f>'Accroiss (2)'!$J$32:$J$35</c:f>
              <c:numCache>
                <c:formatCode>#,##0</c:formatCode>
                <c:ptCount val="4"/>
                <c:pt idx="0">
                  <c:v>2058420723652.7</c:v>
                </c:pt>
                <c:pt idx="1">
                  <c:v>401378658332</c:v>
                </c:pt>
                <c:pt idx="2">
                  <c:v>411801229378</c:v>
                </c:pt>
                <c:pt idx="3">
                  <c:v>225523626160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700"/>
      </a:pPr>
      <a:endParaRPr lang="fr-FR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800" b="1" i="0" cap="all" baseline="0">
                <a:effectLst/>
              </a:rPr>
              <a:t>Repartition des marchés (en volume) selon la nature</a:t>
            </a:r>
            <a:endParaRPr lang="fr-FR" sz="800">
              <a:effectLst/>
            </a:endParaRPr>
          </a:p>
        </c:rich>
      </c:tx>
      <c:layout>
        <c:manualLayout>
          <c:xMode val="edge"/>
          <c:yMode val="edge"/>
          <c:x val="0.18566334208223975"/>
          <c:y val="3.3485540334855401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305262599750789"/>
          <c:y val="0.18308812425844029"/>
          <c:w val="0.80549016680971752"/>
          <c:h val="0.61134380137451061"/>
        </c:manualLayout>
      </c:layout>
      <c:pie3DChart>
        <c:varyColors val="1"/>
        <c:ser>
          <c:idx val="0"/>
          <c:order val="0"/>
          <c:dPt>
            <c:idx val="0"/>
            <c:bubble3D val="0"/>
            <c:explosion val="2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explosion val="4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explosion val="6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explosion val="3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5.5378061767838126E-2"/>
                  <c:y val="-5.4794520547945202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-120697"/>
                        <a:gd name="adj2" fmla="val -220"/>
                      </a:avLst>
                    </a:prstGeom>
                    <a:noFill/>
                    <a:ln>
                      <a:noFill/>
                    </a:ln>
                  </c15:spPr>
                  <c15:layout/>
                </c:ext>
              </c:extLst>
            </c:dLbl>
            <c:dLbl>
              <c:idx val="1"/>
              <c:layout>
                <c:manualLayout>
                  <c:x val="0.2411464048889522"/>
                  <c:y val="-6.1203668120682397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8203617519056116"/>
                      <c:h val="0.11994774625774515"/>
                    </c:manualLayout>
                  </c15:layout>
                </c:ext>
              </c:extLst>
            </c:dLbl>
            <c:dLbl>
              <c:idx val="2"/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spPr>
                <a:solidFill>
                  <a:sysClr val="window" lastClr="FFFFFF"/>
                </a:solidFill>
                <a:ln w="9525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spPr>
              <a:solidFill>
                <a:sysClr val="window" lastClr="FFFFFF"/>
              </a:solidFill>
              <a:ln>
                <a:solidFill>
                  <a:srgbClr val="5B9BD5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7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'Accroiss (2)'!$G$32:$G$35</c:f>
              <c:strCache>
                <c:ptCount val="4"/>
                <c:pt idx="0">
                  <c:v>TRAVAUX</c:v>
                </c:pt>
                <c:pt idx="1">
                  <c:v>FOURNITURES EQUIPEMENTS</c:v>
                </c:pt>
                <c:pt idx="2">
                  <c:v>FOURNITURES COURANTES</c:v>
                </c:pt>
                <c:pt idx="3">
                  <c:v>PRESTATIONS</c:v>
                </c:pt>
              </c:strCache>
            </c:strRef>
          </c:cat>
          <c:val>
            <c:numRef>
              <c:f>'Accroiss (2)'!$H$32:$H$35</c:f>
              <c:numCache>
                <c:formatCode>#,##0</c:formatCode>
                <c:ptCount val="4"/>
                <c:pt idx="0">
                  <c:v>90</c:v>
                </c:pt>
                <c:pt idx="1">
                  <c:v>12</c:v>
                </c:pt>
                <c:pt idx="2">
                  <c:v>24</c:v>
                </c:pt>
                <c:pt idx="3">
                  <c:v>55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fr-FR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800" b="1" i="0" u="none" strike="noStrike" kern="1200" cap="all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fr-FR" sz="800"/>
              <a:t>du </a:t>
            </a:r>
            <a:r>
              <a:rPr lang="fr-FR" sz="800" b="1" i="0" cap="all" baseline="0">
                <a:effectLst/>
              </a:rPr>
              <a:t>Repartition des marchés (en valeur) selon le mode de financement</a:t>
            </a:r>
            <a:endParaRPr lang="fr-FR" sz="8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800" b="1" i="0" u="none" strike="noStrike" kern="1200" cap="all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endParaRPr lang="fr-FR" sz="800"/>
          </a:p>
        </c:rich>
      </c:tx>
      <c:layout>
        <c:manualLayout>
          <c:xMode val="edge"/>
          <c:yMode val="edge"/>
          <c:x val="0.15795020768035062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3180677782924191"/>
          <c:y val="0.22894962454017573"/>
          <c:w val="0.84383422945918163"/>
          <c:h val="0.60015212384166261"/>
        </c:manualLayout>
      </c:layout>
      <c:pie3DChart>
        <c:varyColors val="1"/>
        <c:ser>
          <c:idx val="0"/>
          <c:order val="0"/>
          <c:explosion val="16"/>
          <c:dPt>
            <c:idx val="0"/>
            <c:bubble3D val="0"/>
            <c:explosion val="17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explosion val="6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5102481121898598"/>
                  <c:y val="8.163265306122445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5B9BD5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'Accroiss (2)'!$G$59:$G$60</c:f>
              <c:strCache>
                <c:ptCount val="2"/>
                <c:pt idx="0">
                  <c:v>BND</c:v>
                </c:pt>
                <c:pt idx="1">
                  <c:v>FINEX</c:v>
                </c:pt>
              </c:strCache>
            </c:strRef>
          </c:cat>
          <c:val>
            <c:numRef>
              <c:f>'Accroiss (2)'!$J$59:$J$60</c:f>
              <c:numCache>
                <c:formatCode>#,##0</c:formatCode>
                <c:ptCount val="2"/>
                <c:pt idx="0">
                  <c:v>2918882526860</c:v>
                </c:pt>
                <c:pt idx="1">
                  <c:v>178241710662.70001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700"/>
      </a:pPr>
      <a:endParaRPr lang="fr-FR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 sz="800" b="1" i="0" cap="all" baseline="0">
                <a:effectLst/>
              </a:rPr>
              <a:t>Repartition des marchés (en volume) selon le mode de financement</a:t>
            </a:r>
            <a:endParaRPr lang="fr-FR" sz="8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0489671615475553E-2"/>
          <c:y val="0.16702401739531514"/>
          <c:w val="0.81902065676904889"/>
          <c:h val="0.65471090172305868"/>
        </c:manualLayout>
      </c:layout>
      <c:pie3DChart>
        <c:varyColors val="1"/>
        <c:ser>
          <c:idx val="0"/>
          <c:order val="0"/>
          <c:dPt>
            <c:idx val="0"/>
            <c:bubble3D val="0"/>
            <c:explosion val="9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5.8956916099773264E-2"/>
                  <c:y val="3.3057851239669422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rgbClr val="5B9BD5"/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1" i="0" u="none" strike="noStrike" kern="1200" baseline="0">
                      <a:solidFill>
                        <a:schemeClr val="accent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fr-FR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89832"/>
                        <a:gd name="adj2" fmla="val 46513"/>
                      </a:avLst>
                    </a:prstGeom>
                    <a:noFill/>
                    <a:ln>
                      <a:noFill/>
                    </a:ln>
                  </c15:spPr>
                  <c15:layout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5B9BD5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'Accroiss (2)'!$G$59:$G$60</c:f>
              <c:strCache>
                <c:ptCount val="2"/>
                <c:pt idx="0">
                  <c:v>BND</c:v>
                </c:pt>
                <c:pt idx="1">
                  <c:v>FINEX</c:v>
                </c:pt>
              </c:strCache>
            </c:strRef>
          </c:cat>
          <c:val>
            <c:numRef>
              <c:f>'Accroiss (2)'!$H$59:$H$60</c:f>
              <c:numCache>
                <c:formatCode>#,##0</c:formatCode>
                <c:ptCount val="2"/>
                <c:pt idx="0">
                  <c:v>139</c:v>
                </c:pt>
                <c:pt idx="1">
                  <c:v>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fr-F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9496F-4241-492D-A0F4-10865296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PC-hp</dc:creator>
  <cp:keywords/>
  <dc:description/>
  <cp:lastModifiedBy>Mame Mbaye NDIAYE</cp:lastModifiedBy>
  <cp:revision>3</cp:revision>
  <cp:lastPrinted>2015-07-20T14:51:00Z</cp:lastPrinted>
  <dcterms:created xsi:type="dcterms:W3CDTF">2015-10-22T16:41:00Z</dcterms:created>
  <dcterms:modified xsi:type="dcterms:W3CDTF">2015-10-26T08:43:00Z</dcterms:modified>
</cp:coreProperties>
</file>